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F4" w:rsidRDefault="005537F4" w:rsidP="005537F4">
      <w:pPr>
        <w:spacing w:after="0"/>
        <w:ind w:right="6"/>
        <w:jc w:val="center"/>
      </w:pPr>
      <w:r>
        <w:rPr>
          <w:rFonts w:ascii="Century Gothic" w:eastAsia="Century Gothic" w:hAnsi="Century Gothic" w:cs="Century Gothic"/>
          <w:i/>
          <w:sz w:val="28"/>
        </w:rPr>
        <w:t xml:space="preserve">Mórágy Község Önkormányzata Képviselő-testületének </w:t>
      </w:r>
    </w:p>
    <w:p w:rsidR="005537F4" w:rsidRDefault="005537F4" w:rsidP="005537F4">
      <w:pPr>
        <w:spacing w:after="0"/>
        <w:ind w:left="74"/>
        <w:jc w:val="center"/>
      </w:pPr>
      <w:r>
        <w:rPr>
          <w:rFonts w:ascii="Century Gothic" w:eastAsia="Century Gothic" w:hAnsi="Century Gothic" w:cs="Century Gothic"/>
          <w:i/>
          <w:sz w:val="28"/>
        </w:rPr>
        <w:t xml:space="preserve"> </w:t>
      </w:r>
    </w:p>
    <w:p w:rsidR="005537F4" w:rsidRDefault="005537F4" w:rsidP="005537F4">
      <w:pPr>
        <w:spacing w:after="0"/>
        <w:ind w:right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2/2021.(IV.26.) </w:t>
      </w:r>
      <w:r w:rsidRPr="0004523A">
        <w:rPr>
          <w:rFonts w:ascii="Arial" w:eastAsia="Arial" w:hAnsi="Arial" w:cs="Arial"/>
          <w:sz w:val="24"/>
        </w:rPr>
        <w:t>önkormányzati rendelet</w:t>
      </w:r>
      <w:r>
        <w:rPr>
          <w:rFonts w:ascii="Arial" w:eastAsia="Arial" w:hAnsi="Arial" w:cs="Arial"/>
          <w:sz w:val="24"/>
        </w:rPr>
        <w:t>e</w:t>
      </w:r>
      <w:r w:rsidRPr="0004523A">
        <w:rPr>
          <w:rFonts w:ascii="Arial" w:eastAsia="Arial" w:hAnsi="Arial" w:cs="Arial"/>
          <w:sz w:val="24"/>
        </w:rPr>
        <w:t xml:space="preserve"> </w:t>
      </w:r>
    </w:p>
    <w:p w:rsidR="005537F4" w:rsidRDefault="005537F4" w:rsidP="005537F4">
      <w:pPr>
        <w:spacing w:after="0"/>
        <w:ind w:right="10"/>
        <w:jc w:val="center"/>
      </w:pPr>
    </w:p>
    <w:p w:rsidR="005537F4" w:rsidRDefault="005537F4" w:rsidP="005537F4">
      <w:pPr>
        <w:pStyle w:val="Cmsor3"/>
      </w:pPr>
      <w:proofErr w:type="gramStart"/>
      <w:r>
        <w:t>a</w:t>
      </w:r>
      <w:proofErr w:type="gramEnd"/>
      <w:r>
        <w:t xml:space="preserve"> helyi közművelődési feladatok ellátásáról </w:t>
      </w:r>
    </w:p>
    <w:p w:rsidR="005537F4" w:rsidRDefault="005537F4" w:rsidP="005537F4">
      <w:pPr>
        <w:spacing w:after="0"/>
        <w:ind w:right="3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left="10" w:right="1" w:hanging="10"/>
        <w:jc w:val="both"/>
      </w:pPr>
      <w:r w:rsidRPr="001535AA">
        <w:rPr>
          <w:rFonts w:ascii="Times New Roman" w:hAnsi="Times New Roman" w:cs="Times New Roman"/>
          <w:sz w:val="24"/>
          <w:szCs w:val="24"/>
        </w:rPr>
        <w:t>Mórágy Község Önkormányzata Képviselő-testületének - a katasztrófavédelemről és a hozzá kapcsolódó egyes törvények módosításáról szóló 2011. évi CXXVIII. törvény 46. § (4) bekezdése szerinti - hatáskörében eljáró Mórágy község polgármestere a veszélyhelyzet kihirdetéséről és a veszélyhelyzeti intézkedések hatálybalépéséről szóló 27/2021 (I. 29.) Korm. rendelettel</w:t>
      </w:r>
      <w:r w:rsidRPr="00153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5AA">
        <w:rPr>
          <w:rFonts w:ascii="Times New Roman" w:hAnsi="Times New Roman" w:cs="Times New Roman"/>
          <w:sz w:val="24"/>
          <w:szCs w:val="24"/>
        </w:rPr>
        <w:t xml:space="preserve">kihirdetett veszélyhelyzetben az Alaptörvény 32. cikk (2) bekezdésében meghatározott eredeti jogalkotói hatáskörében, az Alaptörvény 32. cikk (1) bekezdés a) és </w:t>
      </w:r>
      <w:r w:rsidR="00B92176">
        <w:rPr>
          <w:rFonts w:ascii="Times New Roman" w:hAnsi="Times New Roman" w:cs="Times New Roman"/>
          <w:sz w:val="24"/>
          <w:szCs w:val="24"/>
        </w:rPr>
        <w:t>l</w:t>
      </w:r>
      <w:r w:rsidRPr="001535AA">
        <w:rPr>
          <w:rFonts w:ascii="Times New Roman" w:hAnsi="Times New Roman" w:cs="Times New Roman"/>
          <w:sz w:val="24"/>
          <w:szCs w:val="24"/>
        </w:rPr>
        <w:t xml:space="preserve">) pontjában </w:t>
      </w:r>
      <w:r w:rsidR="00C8511D">
        <w:rPr>
          <w:rFonts w:ascii="Times New Roman" w:hAnsi="Times New Roman" w:cs="Times New Roman"/>
          <w:sz w:val="24"/>
          <w:szCs w:val="24"/>
        </w:rPr>
        <w:t xml:space="preserve">valamint </w:t>
      </w:r>
      <w:r w:rsidR="00C8511D">
        <w:rPr>
          <w:rFonts w:ascii="Times New Roman" w:eastAsia="Times New Roman" w:hAnsi="Times New Roman" w:cs="Times New Roman"/>
          <w:sz w:val="24"/>
        </w:rPr>
        <w:t xml:space="preserve">a Magyarország helyi önkormányzatairól szóló 2011. évi CLXXXIX. törvény 13. § (1) bekezdés 7. pontjában meghatározott feladatkörében eljárva, </w:t>
      </w:r>
      <w:r w:rsidRPr="00153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muzeális intézményekről, a nyilvános könyvtári ellátásról és a közművelődésről szóló 1997. évi CXL. törvény 83/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§ (1) bekezdésében kapott felhatalmazás alapján, Mórágyi Roma Nemzetiségi Önkormányzat és a Mórágyi Német Nemzetiségi Önkormányzat véleményének kikérésével a következőket rendeli el: </w:t>
      </w:r>
    </w:p>
    <w:p w:rsidR="005537F4" w:rsidRDefault="005537F4" w:rsidP="005537F4">
      <w:pPr>
        <w:pStyle w:val="Cmsor4"/>
        <w:ind w:left="0" w:firstLine="0"/>
        <w:jc w:val="left"/>
        <w:rPr>
          <w:rFonts w:eastAsia="Calibri"/>
          <w:b w:val="0"/>
          <w:szCs w:val="24"/>
        </w:rPr>
      </w:pPr>
    </w:p>
    <w:p w:rsidR="005537F4" w:rsidRDefault="005537F4" w:rsidP="005537F4">
      <w:pPr>
        <w:pStyle w:val="Cmsor4"/>
        <w:ind w:left="2124" w:firstLine="708"/>
        <w:jc w:val="left"/>
      </w:pPr>
      <w:r>
        <w:t xml:space="preserve">1. Általános rendelkezések </w:t>
      </w:r>
    </w:p>
    <w:p w:rsidR="005537F4" w:rsidRDefault="005537F4" w:rsidP="005537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numPr>
          <w:ilvl w:val="0"/>
          <w:numId w:val="1"/>
        </w:numPr>
        <w:spacing w:after="0"/>
        <w:ind w:right="7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E rendelet célja, hogy Mórágy Község Önkormányzata (a továbbiakban: </w:t>
      </w:r>
    </w:p>
    <w:p w:rsidR="005537F4" w:rsidRDefault="005537F4" w:rsidP="005537F4">
      <w:pPr>
        <w:spacing w:after="0" w:line="249" w:lineRule="auto"/>
        <w:ind w:left="10" w:right="1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önkormányzat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a mórágyi polgárok érdekeit szem előtt tartva, a község művelődési érdekeinek és kulturális szükségleteinek figyelembevételével, a helyi lehetőségek, sajátosságok és hagyományok alapján meghatározza az önkormányzat közművelődési feladatait, azok ellátási formáját, módját és mértékét. </w:t>
      </w:r>
    </w:p>
    <w:p w:rsidR="005537F4" w:rsidRDefault="005537F4" w:rsidP="005537F4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numPr>
          <w:ilvl w:val="0"/>
          <w:numId w:val="1"/>
        </w:numPr>
        <w:spacing w:after="0" w:line="249" w:lineRule="auto"/>
        <w:ind w:right="7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 xml:space="preserve"> A rendelet hatálya kiterjed a közművelődésben résztvevőkre, az önkormányzat által fenntartott és működtetett közművelődési közösségi színtérre, azok működtetőire, </w:t>
      </w:r>
      <w:proofErr w:type="spellStart"/>
      <w:r>
        <w:rPr>
          <w:rFonts w:ascii="Times New Roman" w:eastAsia="Times New Roman" w:hAnsi="Times New Roman" w:cs="Times New Roman"/>
          <w:sz w:val="24"/>
        </w:rPr>
        <w:t>alkalmazottaira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és a közművelődési tevékenység megvalósulásában résztvevőkre. </w:t>
      </w:r>
    </w:p>
    <w:p w:rsidR="005537F4" w:rsidRDefault="005537F4" w:rsidP="005537F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pStyle w:val="Cmsor4"/>
      </w:pPr>
      <w:r>
        <w:t xml:space="preserve">2. Az önkormányzat közművelődési alapszolgáltatásai, feladatai </w:t>
      </w:r>
    </w:p>
    <w:p w:rsidR="005537F4" w:rsidRDefault="005537F4" w:rsidP="005537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3. § (1)</w:t>
      </w:r>
      <w:r>
        <w:rPr>
          <w:rFonts w:ascii="Times New Roman" w:eastAsia="Times New Roman" w:hAnsi="Times New Roman" w:cs="Times New Roman"/>
          <w:sz w:val="24"/>
        </w:rPr>
        <w:t xml:space="preserve"> Az önkormányzat a település minden lakosának biztosítja a kultúrához való hozzáférés jogát és lehetőségét. </w:t>
      </w:r>
    </w:p>
    <w:p w:rsidR="005537F4" w:rsidRDefault="005537F4" w:rsidP="005537F4">
      <w:pPr>
        <w:spacing w:after="0" w:line="249" w:lineRule="auto"/>
        <w:ind w:right="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Az önkormányzat a település adottságainak figyelembevételével, a helyi közművelődési tevékenység támogatása terén az alábbi közművelődési alapszolgáltatásokat látja el:  </w:t>
      </w:r>
    </w:p>
    <w:p w:rsidR="005537F4" w:rsidRDefault="005537F4" w:rsidP="005537F4">
      <w:pPr>
        <w:numPr>
          <w:ilvl w:val="0"/>
          <w:numId w:val="2"/>
        </w:numPr>
        <w:spacing w:after="0" w:line="249" w:lineRule="auto"/>
        <w:ind w:left="1117"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művelődő közösségek létrejöttének elősegítése, működésük támogatása, fejlődésük segítése, a közművelődési tevékenységek és a művelődő közösségek számára helyszín biztosítása, </w:t>
      </w:r>
    </w:p>
    <w:p w:rsidR="005537F4" w:rsidRDefault="005537F4" w:rsidP="005537F4">
      <w:pPr>
        <w:numPr>
          <w:ilvl w:val="0"/>
          <w:numId w:val="2"/>
        </w:numPr>
        <w:spacing w:after="0" w:line="249" w:lineRule="auto"/>
        <w:ind w:left="1117"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közösségi és társadalmi részvétel fejlesztése, </w:t>
      </w:r>
    </w:p>
    <w:p w:rsidR="005537F4" w:rsidRDefault="005537F4" w:rsidP="005537F4">
      <w:pPr>
        <w:numPr>
          <w:ilvl w:val="0"/>
          <w:numId w:val="2"/>
        </w:numPr>
        <w:spacing w:after="0" w:line="249" w:lineRule="auto"/>
        <w:ind w:left="1117"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hagyományos közösségi kulturális értékek átörökítése feltételeinek biztosítása. </w:t>
      </w:r>
    </w:p>
    <w:p w:rsidR="005537F4" w:rsidRDefault="005537F4" w:rsidP="005537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Pr="00B62FE8" w:rsidRDefault="005537F4" w:rsidP="005537F4">
      <w:pPr>
        <w:pStyle w:val="Listaszerbekezds"/>
        <w:numPr>
          <w:ilvl w:val="0"/>
          <w:numId w:val="1"/>
        </w:numPr>
        <w:spacing w:after="0" w:line="249" w:lineRule="auto"/>
        <w:ind w:right="1"/>
        <w:jc w:val="both"/>
        <w:rPr>
          <w:rFonts w:ascii="Times New Roman" w:eastAsia="Times New Roman" w:hAnsi="Times New Roman" w:cs="Times New Roman"/>
          <w:sz w:val="24"/>
        </w:rPr>
      </w:pPr>
      <w:r w:rsidRPr="00B62FE8">
        <w:rPr>
          <w:rFonts w:ascii="Times New Roman" w:eastAsia="Times New Roman" w:hAnsi="Times New Roman" w:cs="Times New Roman"/>
          <w:b/>
          <w:sz w:val="24"/>
        </w:rPr>
        <w:t>§ (1)</w:t>
      </w:r>
      <w:r w:rsidRPr="00B62FE8">
        <w:rPr>
          <w:rFonts w:ascii="Times New Roman" w:eastAsia="Times New Roman" w:hAnsi="Times New Roman" w:cs="Times New Roman"/>
          <w:sz w:val="24"/>
        </w:rPr>
        <w:t xml:space="preserve"> Az önkormányzat a helyi közművelődési tevékenységek keretében az alábbi feladatokat támogatja:  </w:t>
      </w:r>
    </w:p>
    <w:p w:rsidR="005537F4" w:rsidRDefault="005537F4" w:rsidP="005537F4">
      <w:pPr>
        <w:spacing w:after="0" w:line="249" w:lineRule="auto"/>
        <w:ind w:right="1"/>
        <w:jc w:val="both"/>
      </w:pPr>
    </w:p>
    <w:p w:rsidR="005537F4" w:rsidRDefault="005537F4" w:rsidP="00C8511D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 w:rsidRPr="00C8511D">
        <w:rPr>
          <w:rFonts w:ascii="Times New Roman" w:eastAsia="Times New Roman" w:hAnsi="Times New Roman" w:cs="Times New Roman"/>
          <w:sz w:val="24"/>
        </w:rPr>
        <w:lastRenderedPageBreak/>
        <w:t xml:space="preserve">a különböző életkorú, érték- és érdekrendszerű civil közösségek művelődési szándékainak támogatását;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különböző fórumok, estek, találkozók szervezése, szolidáris </w:t>
      </w:r>
      <w:proofErr w:type="gramStart"/>
      <w:r>
        <w:rPr>
          <w:rFonts w:ascii="Times New Roman" w:eastAsia="Times New Roman" w:hAnsi="Times New Roman" w:cs="Times New Roman"/>
          <w:sz w:val="24"/>
        </w:rPr>
        <w:t>akciók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fogadása, különböző civil szervezetek közötti együttműködés kezdeményezése, közösségi tér biztosítása;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település környezeti, szellemi, művészeti, hagyományainak feltárása, megismertetése, a helyi művelődési szokások gondozása, gazdagítása;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lokálpatriotizmus elmélyítése, a szűkebb-tágabb régió értékeinek gyarapítása, megismertetése;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egyetemes, a nemzeti, a nemzetiségi és más kisebbségi kultúra értékeinek megismertetése, a megértés, a befogadás elősegítése, az ünnepek kultúrájának gondozása;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esztétikai élmények megéléséhez színházi előadások, hangversenyek, </w:t>
      </w:r>
      <w:proofErr w:type="gramStart"/>
      <w:r>
        <w:rPr>
          <w:rFonts w:ascii="Times New Roman" w:eastAsia="Times New Roman" w:hAnsi="Times New Roman" w:cs="Times New Roman"/>
          <w:sz w:val="24"/>
        </w:rPr>
        <w:t>koncertek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irodalmi estek, művészeti kiállítások kínálata;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eltérő korosztályok számára szórakozva- művelődő és kulturált szórakozási lehetőségek biztosítása, mikroközösségek szerveződésének segítése;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ismeretszerző, az amatőr alkotó, művelődő, népművészeti, hagyományőrző közösségek tevékenységének támogatása;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bemutatók, kiállítások, tehetséggondozás;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különböző kultúrák közötti kapcsolatok kiépítésének és fenntartásának segítése; </w:t>
      </w:r>
    </w:p>
    <w:p w:rsidR="005537F4" w:rsidRDefault="005537F4" w:rsidP="005537F4">
      <w:pPr>
        <w:numPr>
          <w:ilvl w:val="0"/>
          <w:numId w:val="3"/>
        </w:numPr>
        <w:spacing w:after="0" w:line="249" w:lineRule="auto"/>
        <w:ind w:left="1117"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kapcsolatépítés a testvérvárosok kulturális intézményeivel, művelődési, művészeti egyesületeivel; </w:t>
      </w:r>
      <w:r w:rsidRPr="00FA54F7">
        <w:rPr>
          <w:rFonts w:ascii="Times New Roman" w:eastAsia="Times New Roman" w:hAnsi="Times New Roman" w:cs="Times New Roman"/>
          <w:sz w:val="24"/>
        </w:rPr>
        <w:t xml:space="preserve">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szabadidő kulturális célú eltöltéséhez a feltételek biztosítása;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infokommunikációs eszközök révén, személyes segítségnyújtás a szolgáltatást igénybe vevők részére;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nyilvánosság megteremtése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önkormányzat  honlapja útján;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szórólapok, plakátok, meghívók készítése; 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közérdekű, közhasznú kiállítások rendezése, programok szervezése;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kulturális turizmus segítése; </w:t>
      </w:r>
    </w:p>
    <w:p w:rsidR="005537F4" w:rsidRDefault="005537F4" w:rsidP="005537F4">
      <w:pPr>
        <w:numPr>
          <w:ilvl w:val="0"/>
          <w:numId w:val="3"/>
        </w:numPr>
        <w:spacing w:after="0" w:line="240" w:lineRule="auto"/>
        <w:ind w:left="111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lakosság különböző művelődési célú, illetve közösségi tér igényű programjainak segítése, közművelődési színtér biztosítása. </w:t>
      </w:r>
    </w:p>
    <w:p w:rsidR="005537F4" w:rsidRDefault="005537F4" w:rsidP="005537F4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/>
        <w:ind w:left="2493"/>
      </w:pPr>
      <w:r>
        <w:rPr>
          <w:rFonts w:ascii="Times New Roman" w:eastAsia="Times New Roman" w:hAnsi="Times New Roman" w:cs="Times New Roman"/>
          <w:b/>
          <w:sz w:val="24"/>
        </w:rPr>
        <w:t xml:space="preserve">3. A közművelődési tevékenység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finanszí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rozása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/>
        <w:ind w:left="7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5. § (1)</w:t>
      </w:r>
      <w:r>
        <w:rPr>
          <w:rFonts w:ascii="Times New Roman" w:eastAsia="Times New Roman" w:hAnsi="Times New Roman" w:cs="Times New Roman"/>
          <w:sz w:val="24"/>
        </w:rPr>
        <w:t xml:space="preserve"> Az önkormányzat a közművelődési tevékenység </w:t>
      </w:r>
      <w:proofErr w:type="gramStart"/>
      <w:r>
        <w:rPr>
          <w:rFonts w:ascii="Times New Roman" w:eastAsia="Times New Roman" w:hAnsi="Times New Roman" w:cs="Times New Roman"/>
          <w:sz w:val="24"/>
        </w:rPr>
        <w:t>finanszírozásához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szükséges pénzügyi feltételeket az állami feladatfinanszírozásból, saját bevételeiből és pályázatokon elnyert forrásokból biztosítja.  </w:t>
      </w:r>
    </w:p>
    <w:p w:rsidR="005537F4" w:rsidRDefault="005537F4" w:rsidP="005537F4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numPr>
          <w:ilvl w:val="0"/>
          <w:numId w:val="4"/>
        </w:numPr>
        <w:spacing w:after="0" w:line="249" w:lineRule="auto"/>
        <w:ind w:right="1" w:firstLine="638"/>
        <w:jc w:val="both"/>
      </w:pPr>
      <w:r>
        <w:rPr>
          <w:rFonts w:ascii="Times New Roman" w:eastAsia="Times New Roman" w:hAnsi="Times New Roman" w:cs="Times New Roman"/>
          <w:sz w:val="24"/>
        </w:rPr>
        <w:t>Az önkormányzat a 3.-4. §-</w:t>
      </w:r>
      <w:proofErr w:type="spellStart"/>
      <w:r>
        <w:rPr>
          <w:rFonts w:ascii="Times New Roman" w:eastAsia="Times New Roman" w:hAnsi="Times New Roman" w:cs="Times New Roman"/>
          <w:sz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meghatározott alapszolgáltatások és feladatok megvalósítása érdekében  </w:t>
      </w:r>
    </w:p>
    <w:p w:rsidR="005537F4" w:rsidRDefault="005537F4" w:rsidP="005537F4">
      <w:pPr>
        <w:numPr>
          <w:ilvl w:val="1"/>
          <w:numId w:val="4"/>
        </w:numPr>
        <w:spacing w:after="0" w:line="249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éves költségvetésében támogatási keretet határoz meg,  </w:t>
      </w:r>
    </w:p>
    <w:p w:rsidR="005537F4" w:rsidRDefault="005537F4" w:rsidP="005537F4">
      <w:pPr>
        <w:numPr>
          <w:ilvl w:val="1"/>
          <w:numId w:val="4"/>
        </w:numPr>
        <w:spacing w:after="8" w:line="23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támogatja a helyi székhelyű alapítványokat, közalapítványokat, egyesületeket, közösségeit külön rendeletében megállapított feltételek alapján,  </w:t>
      </w:r>
    </w:p>
    <w:p w:rsidR="005537F4" w:rsidRDefault="005537F4" w:rsidP="005537F4">
      <w:pPr>
        <w:numPr>
          <w:ilvl w:val="1"/>
          <w:numId w:val="4"/>
        </w:numPr>
        <w:spacing w:after="0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támogatja a községi nagyrendezvények, fesztiválok megrendezését. </w:t>
      </w:r>
    </w:p>
    <w:p w:rsidR="005537F4" w:rsidRDefault="005537F4" w:rsidP="005537F4">
      <w:pPr>
        <w:spacing w:after="0"/>
        <w:ind w:left="12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numPr>
          <w:ilvl w:val="0"/>
          <w:numId w:val="4"/>
        </w:numPr>
        <w:spacing w:after="0" w:line="249" w:lineRule="auto"/>
        <w:ind w:right="1" w:firstLine="63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közművelődési helyszín és alapellátás biztosításán túl a </w:t>
      </w:r>
      <w:proofErr w:type="gramStart"/>
      <w:r>
        <w:rPr>
          <w:rFonts w:ascii="Times New Roman" w:eastAsia="Times New Roman" w:hAnsi="Times New Roman" w:cs="Times New Roman"/>
          <w:sz w:val="24"/>
        </w:rPr>
        <w:t>finanszírozás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módja elsősorban feladatfinanszírozás. </w:t>
      </w:r>
    </w:p>
    <w:p w:rsidR="005537F4" w:rsidRDefault="005537F4" w:rsidP="005537F4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pStyle w:val="Cmsor4"/>
        <w:ind w:right="8"/>
      </w:pPr>
      <w:r>
        <w:lastRenderedPageBreak/>
        <w:t xml:space="preserve">4. A közművelődési feladatellátás formája, módja </w:t>
      </w:r>
    </w:p>
    <w:p w:rsidR="005537F4" w:rsidRDefault="005537F4" w:rsidP="005537F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852"/>
        <w:jc w:val="both"/>
      </w:pPr>
      <w:r>
        <w:rPr>
          <w:rFonts w:ascii="Times New Roman" w:eastAsia="Times New Roman" w:hAnsi="Times New Roman" w:cs="Times New Roman"/>
          <w:b/>
          <w:sz w:val="24"/>
        </w:rPr>
        <w:t>6. § (1)</w:t>
      </w:r>
      <w:r>
        <w:rPr>
          <w:rFonts w:ascii="Times New Roman" w:eastAsia="Times New Roman" w:hAnsi="Times New Roman" w:cs="Times New Roman"/>
          <w:sz w:val="24"/>
        </w:rPr>
        <w:t xml:space="preserve"> Az önkormányzat a közművelődési feladatait az általa fenntartott Kultúrház - Közösségi Színtér (a továbbiakban: Kultúrház) 7165 Mórágy, Petőfi utca 71., 258. </w:t>
      </w:r>
      <w:proofErr w:type="spellStart"/>
      <w:r>
        <w:rPr>
          <w:rFonts w:ascii="Times New Roman" w:eastAsia="Times New Roman" w:hAnsi="Times New Roman" w:cs="Times New Roman"/>
          <w:sz w:val="24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537F4" w:rsidRDefault="005537F4" w:rsidP="005537F4">
      <w:pPr>
        <w:spacing w:after="0" w:line="249" w:lineRule="auto"/>
        <w:ind w:left="10" w:right="1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működtetésén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keresztül látja el.  </w:t>
      </w:r>
    </w:p>
    <w:p w:rsidR="005537F4" w:rsidRDefault="005537F4" w:rsidP="005537F4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A község éves rendezvényprogramja, ezen belül Kultúrház kulturális programja,</w:t>
      </w:r>
      <w:r w:rsidRPr="00774B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továbbá a szakmai közművelődésről (szóbeli) szóló beszámolója minden évben az önkormányzat képviselő-testületének jóváhagyásával válik érvényessé.  </w:t>
      </w:r>
    </w:p>
    <w:p w:rsidR="005537F4" w:rsidRDefault="005537F4" w:rsidP="005537F4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§</w:t>
      </w:r>
      <w:r>
        <w:rPr>
          <w:rFonts w:ascii="Times New Roman" w:eastAsia="Times New Roman" w:hAnsi="Times New Roman" w:cs="Times New Roman"/>
          <w:sz w:val="24"/>
        </w:rPr>
        <w:t xml:space="preserve"> Az önkormányzat a közművelődési alapszolgáltatások nyújtásában a Kultúrház mellett más, közművelődési tevékenységet is ellátó természetes és jogi személyeket, egyéb szervezeteket, azok fenntartóit, működtetőit és alkalmazottait is bevonhatja, így különösen:</w:t>
      </w:r>
    </w:p>
    <w:p w:rsidR="005537F4" w:rsidRDefault="005537F4" w:rsidP="005537F4">
      <w:pPr>
        <w:spacing w:after="0" w:line="249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Arial" w:eastAsia="Arial" w:hAnsi="Arial" w:cs="Arial"/>
          <w:sz w:val="24"/>
        </w:rPr>
        <w:t xml:space="preserve">   </w:t>
      </w:r>
      <w:r w:rsidR="00C8511D">
        <w:rPr>
          <w:rFonts w:ascii="Times New Roman" w:eastAsia="Times New Roman" w:hAnsi="Times New Roman" w:cs="Times New Roman"/>
          <w:sz w:val="24"/>
        </w:rPr>
        <w:t>községi mozgókönyvtárát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Helytörténeti gyűjteményt,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nevelési-oktatási intézményeket,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német és roma nemzetiségi önkormányzatot, 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kulturális tevékenységet is végző társadalmi, civil szervezeteket, egyesületeket, alapítványokat, 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egészségügyi és sport intézményeket, szervezeteket, 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turizmus és idegenforgalom szervezeteit,  </w:t>
      </w:r>
    </w:p>
    <w:p w:rsidR="005537F4" w:rsidRDefault="005537F4" w:rsidP="005537F4">
      <w:pPr>
        <w:numPr>
          <w:ilvl w:val="0"/>
          <w:numId w:val="5"/>
        </w:numPr>
        <w:spacing w:after="0" w:line="249" w:lineRule="auto"/>
        <w:ind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helyi népművészeket, helyi gazdasági szervezeteket, magánszemélyeket i)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egyházakat,  </w:t>
      </w:r>
    </w:p>
    <w:p w:rsidR="005537F4" w:rsidRDefault="005537F4" w:rsidP="005537F4">
      <w:pPr>
        <w:spacing w:after="0" w:line="249" w:lineRule="auto"/>
        <w:ind w:left="720" w:right="1" w:hanging="360"/>
        <w:jc w:val="both"/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hasonló feladatokat ellátó országos, regionális, térségi intézményeket, civil szervezeteket. </w:t>
      </w:r>
    </w:p>
    <w:p w:rsidR="005537F4" w:rsidRDefault="005537F4" w:rsidP="005537F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pStyle w:val="Cmsor4"/>
        <w:ind w:right="4"/>
      </w:pPr>
      <w:r>
        <w:t xml:space="preserve">5. A közművelődési tevékenység irányítása és ellenőrzése </w:t>
      </w:r>
    </w:p>
    <w:p w:rsidR="005537F4" w:rsidRDefault="005537F4" w:rsidP="005537F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568"/>
        <w:jc w:val="both"/>
      </w:pPr>
      <w:r>
        <w:rPr>
          <w:rFonts w:ascii="Times New Roman" w:eastAsia="Times New Roman" w:hAnsi="Times New Roman" w:cs="Times New Roman"/>
          <w:b/>
          <w:sz w:val="24"/>
        </w:rPr>
        <w:t>8. § (1)</w:t>
      </w:r>
      <w:r>
        <w:rPr>
          <w:rFonts w:ascii="Times New Roman" w:eastAsia="Times New Roman" w:hAnsi="Times New Roman" w:cs="Times New Roman"/>
          <w:sz w:val="24"/>
        </w:rPr>
        <w:t xml:space="preserve"> A muzeális intézményekről, a nyilvános könyvtári ellátásról és a közművelődésről szóló 1997. évi CXL. törvény és e rendelet által meghatározott közművelődési feladatokkal kapcsolatos hatásköröket a képviselő-testület gyakorolja. </w:t>
      </w:r>
    </w:p>
    <w:p w:rsidR="005537F4" w:rsidRDefault="005537F4" w:rsidP="005537F4">
      <w:pPr>
        <w:spacing w:after="0"/>
        <w:ind w:left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right="1" w:firstLine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A közösségi szintér szakmai ellenőrzését a képviselő-testület előtt szóban elhangzott szakmai beszámolók és szakértői vélemények alapján látja el.  </w:t>
      </w:r>
    </w:p>
    <w:p w:rsidR="005537F4" w:rsidRDefault="005537F4" w:rsidP="005537F4">
      <w:pPr>
        <w:spacing w:after="0" w:line="249" w:lineRule="auto"/>
        <w:ind w:right="1" w:firstLine="568"/>
        <w:jc w:val="both"/>
      </w:pPr>
    </w:p>
    <w:p w:rsidR="005537F4" w:rsidRDefault="005537F4" w:rsidP="005537F4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pStyle w:val="Cmsor4"/>
      </w:pPr>
      <w:r>
        <w:t xml:space="preserve">6. Záró rendelkezések </w:t>
      </w:r>
    </w:p>
    <w:p w:rsidR="005537F4" w:rsidRDefault="005537F4" w:rsidP="005537F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left="862" w:right="1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9. § (1)</w:t>
      </w:r>
      <w:r>
        <w:rPr>
          <w:rFonts w:ascii="Times New Roman" w:eastAsia="Times New Roman" w:hAnsi="Times New Roman" w:cs="Times New Roman"/>
          <w:sz w:val="24"/>
        </w:rPr>
        <w:t xml:space="preserve"> E rendelet 2021. május 1-jén lép hatályba.  </w:t>
      </w:r>
    </w:p>
    <w:p w:rsidR="005537F4" w:rsidRDefault="005537F4" w:rsidP="005537F4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537F4" w:rsidRDefault="005537F4" w:rsidP="005537F4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:rsidR="005537F4" w:rsidRPr="00251A00" w:rsidRDefault="005537F4" w:rsidP="005537F4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251A00">
        <w:rPr>
          <w:rFonts w:ascii="Times New Roman" w:hAnsi="Times New Roman" w:cs="Times New Roman"/>
          <w:sz w:val="24"/>
          <w:szCs w:val="24"/>
        </w:rPr>
        <w:t xml:space="preserve">Mórágy, 2021. április 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25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F4" w:rsidRDefault="005537F4" w:rsidP="005537F4">
      <w:pPr>
        <w:spacing w:after="0"/>
        <w:ind w:left="57"/>
        <w:jc w:val="center"/>
      </w:pPr>
    </w:p>
    <w:tbl>
      <w:tblPr>
        <w:tblStyle w:val="TableGrid"/>
        <w:tblW w:w="11001" w:type="dxa"/>
        <w:tblInd w:w="0" w:type="dxa"/>
        <w:tblLook w:val="04A0" w:firstRow="1" w:lastRow="0" w:firstColumn="1" w:lastColumn="0" w:noHBand="0" w:noVBand="1"/>
      </w:tblPr>
      <w:tblGrid>
        <w:gridCol w:w="8222"/>
        <w:gridCol w:w="2779"/>
      </w:tblGrid>
      <w:tr w:rsidR="005537F4" w:rsidTr="004E6955">
        <w:trPr>
          <w:trHeight w:val="24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tabs>
                <w:tab w:val="center" w:pos="1700"/>
              </w:tabs>
              <w:ind w:right="-269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37F4" w:rsidRDefault="005537F4" w:rsidP="004E6955">
            <w:pPr>
              <w:tabs>
                <w:tab w:val="center" w:pos="1700"/>
              </w:tabs>
              <w:ind w:right="-269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37F4" w:rsidRPr="00E83025" w:rsidRDefault="005537F4" w:rsidP="004E6955">
            <w:pPr>
              <w:tabs>
                <w:tab w:val="center" w:pos="1700"/>
              </w:tabs>
              <w:ind w:right="-2693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Glöckner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Henrik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Filczinger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Ágnes           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37F4" w:rsidRDefault="005537F4" w:rsidP="004E6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537F4" w:rsidRDefault="005537F4" w:rsidP="004E6955">
            <w:pPr>
              <w:jc w:val="both"/>
            </w:pPr>
          </w:p>
        </w:tc>
      </w:tr>
      <w:tr w:rsidR="005537F4" w:rsidTr="004E6955">
        <w:trPr>
          <w:trHeight w:val="24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tabs>
                <w:tab w:val="center" w:pos="170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polgármester                                                                        jegyző</w:t>
            </w:r>
            <w:proofErr w:type="gramEnd"/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ind w:left="1843" w:right="61" w:hanging="1843"/>
            </w:pPr>
          </w:p>
        </w:tc>
      </w:tr>
      <w:tr w:rsidR="005537F4" w:rsidTr="004E6955">
        <w:trPr>
          <w:trHeight w:val="247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tabs>
                <w:tab w:val="center" w:pos="1704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537F4" w:rsidRDefault="005537F4" w:rsidP="004E6955">
            <w:pPr>
              <w:ind w:left="1843" w:right="61" w:hanging="1843"/>
            </w:pPr>
          </w:p>
        </w:tc>
      </w:tr>
    </w:tbl>
    <w:p w:rsidR="00C8511D" w:rsidRDefault="00C8511D" w:rsidP="00C8511D">
      <w:pPr>
        <w:spacing w:after="0" w:line="249" w:lineRule="auto"/>
        <w:ind w:right="1"/>
        <w:jc w:val="both"/>
      </w:pPr>
    </w:p>
    <w:p w:rsidR="00C8511D" w:rsidRDefault="00C8511D" w:rsidP="00C8511D">
      <w:pPr>
        <w:spacing w:after="0" w:line="249" w:lineRule="auto"/>
        <w:ind w:right="1"/>
        <w:jc w:val="both"/>
      </w:pPr>
    </w:p>
    <w:p w:rsidR="005537F4" w:rsidRDefault="005537F4" w:rsidP="00C8511D">
      <w:pPr>
        <w:spacing w:after="0" w:line="249" w:lineRule="auto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rendelet kihirdetésének napja </w:t>
      </w:r>
    </w:p>
    <w:p w:rsidR="005537F4" w:rsidRDefault="005537F4" w:rsidP="005537F4">
      <w:pPr>
        <w:spacing w:after="0" w:line="249" w:lineRule="auto"/>
        <w:ind w:left="10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2021. április 26.</w:t>
      </w:r>
    </w:p>
    <w:p w:rsidR="005537F4" w:rsidRDefault="005537F4" w:rsidP="005537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37F4" w:rsidRDefault="005537F4" w:rsidP="005537F4">
      <w:pPr>
        <w:spacing w:after="0" w:line="249" w:lineRule="auto"/>
        <w:ind w:left="10" w:right="593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537F4" w:rsidRDefault="005537F4" w:rsidP="005537F4">
      <w:pPr>
        <w:spacing w:after="0" w:line="249" w:lineRule="auto"/>
        <w:ind w:left="10" w:right="5931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5537F4" w:rsidRDefault="005537F4" w:rsidP="005537F4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Filczinger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Ágnes </w:t>
      </w:r>
    </w:p>
    <w:p w:rsidR="005537F4" w:rsidRDefault="005537F4" w:rsidP="005537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jegyző</w:t>
      </w:r>
      <w:proofErr w:type="gramEnd"/>
      <w:r>
        <w:rPr>
          <w:rFonts w:ascii="Arial" w:eastAsia="Arial" w:hAnsi="Arial" w:cs="Arial"/>
        </w:rPr>
        <w:t xml:space="preserve"> </w:t>
      </w:r>
    </w:p>
    <w:p w:rsidR="0047046A" w:rsidRDefault="0047046A"/>
    <w:sectPr w:rsidR="0047046A">
      <w:footnotePr>
        <w:numRestart w:val="eachPage"/>
      </w:footnotePr>
      <w:pgSz w:w="11908" w:h="16836"/>
      <w:pgMar w:top="1460" w:right="1413" w:bottom="14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2DC9"/>
    <w:multiLevelType w:val="hybridMultilevel"/>
    <w:tmpl w:val="7812EA38"/>
    <w:lvl w:ilvl="0" w:tplc="0400F1A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8CF68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AF01E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A3972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F460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6FAF0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B146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2BAC4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ECD9A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165AB"/>
    <w:multiLevelType w:val="hybridMultilevel"/>
    <w:tmpl w:val="35AEA6AC"/>
    <w:lvl w:ilvl="0" w:tplc="B4BE553C">
      <w:start w:val="2"/>
      <w:numFmt w:val="lowerLetter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6408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0F2B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085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2BE6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8116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E038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8DC3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603C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95240F"/>
    <w:multiLevelType w:val="hybridMultilevel"/>
    <w:tmpl w:val="39AE327E"/>
    <w:lvl w:ilvl="0" w:tplc="6E7E2F5A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EBA94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AEFAE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07FD2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6A4D0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2B3B6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A8EAA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C1814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5486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829DE"/>
    <w:multiLevelType w:val="hybridMultilevel"/>
    <w:tmpl w:val="E856F046"/>
    <w:lvl w:ilvl="0" w:tplc="71A40C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096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422D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01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8D3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00A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07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271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C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60BE7"/>
    <w:multiLevelType w:val="hybridMultilevel"/>
    <w:tmpl w:val="943E87BC"/>
    <w:lvl w:ilvl="0" w:tplc="D90418F2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86082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B936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EFFB0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A645C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5696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D94C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BA4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CD5A8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4"/>
    <w:rsid w:val="002E76A4"/>
    <w:rsid w:val="0047046A"/>
    <w:rsid w:val="005537F4"/>
    <w:rsid w:val="00B92176"/>
    <w:rsid w:val="00C8511D"/>
    <w:rsid w:val="00F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023"/>
  <w15:chartTrackingRefBased/>
  <w15:docId w15:val="{4B0781BB-0192-4953-88BB-E13679A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37F4"/>
    <w:rPr>
      <w:rFonts w:ascii="Calibri" w:eastAsia="Calibri" w:hAnsi="Calibri" w:cs="Calibri"/>
      <w:color w:val="000000"/>
      <w:lang w:eastAsia="hu-HU"/>
    </w:rPr>
  </w:style>
  <w:style w:type="paragraph" w:styleId="Cmsor3">
    <w:name w:val="heading 3"/>
    <w:next w:val="Norml"/>
    <w:link w:val="Cmsor3Char"/>
    <w:uiPriority w:val="9"/>
    <w:unhideWhenUsed/>
    <w:qFormat/>
    <w:rsid w:val="005537F4"/>
    <w:pPr>
      <w:keepNext/>
      <w:keepLines/>
      <w:spacing w:after="0"/>
      <w:ind w:left="1717"/>
      <w:outlineLvl w:val="2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paragraph" w:styleId="Cmsor4">
    <w:name w:val="heading 4"/>
    <w:next w:val="Norml"/>
    <w:link w:val="Cmsor4Char"/>
    <w:uiPriority w:val="9"/>
    <w:unhideWhenUsed/>
    <w:qFormat/>
    <w:rsid w:val="005537F4"/>
    <w:pPr>
      <w:keepNext/>
      <w:keepLines/>
      <w:spacing w:after="0"/>
      <w:ind w:left="10" w:right="5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537F4"/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537F4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5537F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920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2021-05-06T08:42:00Z</dcterms:created>
  <dcterms:modified xsi:type="dcterms:W3CDTF">2021-05-06T09:07:00Z</dcterms:modified>
</cp:coreProperties>
</file>